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63E2F" w14:textId="77777777" w:rsidR="006A6EDC" w:rsidRPr="006F6A4B" w:rsidRDefault="006A6EDC" w:rsidP="006A6EDC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6F6A4B">
        <w:rPr>
          <w:rFonts w:ascii="Times New Roman" w:hAnsi="Times New Roman" w:cs="Times New Roman"/>
          <w:sz w:val="36"/>
          <w:szCs w:val="36"/>
          <w:lang w:val="kk-KZ"/>
        </w:rPr>
        <w:t xml:space="preserve">8 дәріс </w:t>
      </w:r>
      <w:bookmarkStart w:id="0" w:name="_Hlk146389881"/>
      <w:r w:rsidRPr="006F6A4B">
        <w:rPr>
          <w:rFonts w:ascii="Times New Roman" w:hAnsi="Times New Roman" w:cs="Times New Roman"/>
          <w:sz w:val="36"/>
          <w:szCs w:val="36"/>
          <w:lang w:val="kk-KZ"/>
        </w:rPr>
        <w:t>Мемлекеттік дағдарысқа қарсы басқарудағы тәуекел</w:t>
      </w:r>
      <w:bookmarkEnd w:id="0"/>
    </w:p>
    <w:p w14:paraId="11EC904E" w14:textId="77777777" w:rsidR="006A6EDC" w:rsidRPr="006F6A4B" w:rsidRDefault="006A6EDC" w:rsidP="006A6EDC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6F6A4B">
        <w:rPr>
          <w:rFonts w:ascii="Times New Roman" w:hAnsi="Times New Roman" w:cs="Times New Roman"/>
          <w:sz w:val="36"/>
          <w:szCs w:val="36"/>
          <w:lang w:val="kk-KZ"/>
        </w:rPr>
        <w:t>Сұрақтар:</w:t>
      </w:r>
    </w:p>
    <w:p w14:paraId="3B68C44C" w14:textId="77777777" w:rsidR="006A6EDC" w:rsidRPr="006F6A4B" w:rsidRDefault="006A6EDC" w:rsidP="006A6EDC">
      <w:pPr>
        <w:pStyle w:val="a7"/>
        <w:numPr>
          <w:ilvl w:val="0"/>
          <w:numId w:val="1"/>
        </w:numPr>
        <w:spacing w:line="256" w:lineRule="auto"/>
        <w:ind w:left="0" w:firstLine="567"/>
        <w:rPr>
          <w:rFonts w:ascii="Times New Roman" w:hAnsi="Times New Roman" w:cs="Times New Roman"/>
          <w:sz w:val="36"/>
          <w:szCs w:val="36"/>
          <w:lang w:val="kk-KZ"/>
        </w:rPr>
      </w:pPr>
      <w:r w:rsidRPr="006F6A4B">
        <w:rPr>
          <w:rFonts w:ascii="Times New Roman" w:hAnsi="Times New Roman" w:cs="Times New Roman"/>
          <w:sz w:val="36"/>
          <w:szCs w:val="36"/>
          <w:lang w:val="kk-KZ"/>
        </w:rPr>
        <w:t>Мемлекеттік дағдарысқа қарсы басқарудағы тәуекел</w:t>
      </w:r>
    </w:p>
    <w:p w14:paraId="3D3F67C8" w14:textId="77777777" w:rsidR="006A6EDC" w:rsidRPr="006F6A4B" w:rsidRDefault="006A6EDC" w:rsidP="006A6EDC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F6A4B">
        <w:rPr>
          <w:rFonts w:ascii="Times New Roman" w:hAnsi="Times New Roman" w:cs="Times New Roman"/>
          <w:sz w:val="36"/>
          <w:szCs w:val="36"/>
          <w:lang w:val="kk-KZ"/>
        </w:rPr>
        <w:t>Дағдарысқа қарсы басқарудағы тәуекел түрлері</w:t>
      </w:r>
    </w:p>
    <w:p w14:paraId="447D4B22" w14:textId="77777777" w:rsidR="006A6EDC" w:rsidRDefault="006A6EDC" w:rsidP="006A6ED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14:paraId="15B82B46" w14:textId="77777777" w:rsidR="006A6EDC" w:rsidRDefault="006A6EDC" w:rsidP="006A6ED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14:paraId="5560E0B0" w14:textId="77777777" w:rsidR="006A6EDC" w:rsidRDefault="006A6EDC" w:rsidP="006A6ED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14:paraId="0098ABFD" w14:textId="77777777" w:rsidR="006A6EDC" w:rsidRPr="006C76D1" w:rsidRDefault="006A6EDC" w:rsidP="006A6ED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76D1">
        <w:rPr>
          <w:rFonts w:ascii="Times New Roman" w:hAnsi="Times New Roman" w:cs="Times New Roman"/>
          <w:sz w:val="36"/>
          <w:szCs w:val="36"/>
          <w:lang w:val="kk-KZ"/>
        </w:rPr>
        <w:t>Тәуекелділік және оның табиғаты.</w:t>
      </w:r>
    </w:p>
    <w:p w14:paraId="7C0AB989" w14:textId="77777777" w:rsidR="006A6EDC" w:rsidRPr="006C76D1" w:rsidRDefault="006A6EDC" w:rsidP="006A6ED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76D1">
        <w:rPr>
          <w:rFonts w:ascii="Times New Roman" w:hAnsi="Times New Roman" w:cs="Times New Roman"/>
          <w:sz w:val="36"/>
          <w:szCs w:val="36"/>
          <w:lang w:val="kk-KZ"/>
        </w:rPr>
        <w:t>Тәуекелділік мәнін ашатын негізгі терминдер: кездейсоқтық, зиян,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ықтималдылық, жағдай, жеке жағдайлар, жағдайлардың жиынтығы,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инцидент, сценарий. Тәуекелділікті классификациялау: қауіпті жағы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бойынша(техногендік, табиғи, аралас), қызмет сипаты бойынша(кәсіпкерлік,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қаржылық және коммерциялық, кәсіби, инвестициялық, к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ліктік,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ө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 xml:space="preserve">неркәсіптік), обьект табиғаты бойынша( азаматтардың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міріне және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денсаулығына зиян келтіретін тәуекелділік, азаматтық жауапкершілікпен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келетін тәуекелділік).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Тәуекелділікті басқару сатылары: тәуекелділікті талдау, әсер ету тәсілін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таңдау, ше</w:t>
      </w:r>
      <w:r>
        <w:rPr>
          <w:rFonts w:ascii="Times New Roman" w:hAnsi="Times New Roman" w:cs="Times New Roman"/>
          <w:sz w:val="36"/>
          <w:szCs w:val="36"/>
          <w:lang w:val="kk-KZ"/>
        </w:rPr>
        <w:t>ш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ім қабылдау, тәуекелділікке тікелей әсер ету, басқару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процессінде нәтижесін ретке келтіру және бақылау.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Б</w:t>
      </w:r>
      <w:r>
        <w:rPr>
          <w:rFonts w:ascii="Times New Roman" w:hAnsi="Times New Roman" w:cs="Times New Roman"/>
          <w:sz w:val="36"/>
          <w:szCs w:val="36"/>
          <w:lang w:val="kk-KZ"/>
        </w:rPr>
        <w:t>ү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 xml:space="preserve">кіл әлемдік экономика соңғы 10 жылда бірқатар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згерістерге ие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болады. Ол бизнес процесіндегі ақпаратты,технологияны белсенді енгізу, ірі</w:t>
      </w:r>
    </w:p>
    <w:p w14:paraId="427CB88D" w14:textId="77777777" w:rsidR="006A6EDC" w:rsidRPr="006C76D1" w:rsidRDefault="006A6EDC" w:rsidP="006A6ED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76D1">
        <w:rPr>
          <w:rFonts w:ascii="Times New Roman" w:hAnsi="Times New Roman" w:cs="Times New Roman"/>
          <w:sz w:val="36"/>
          <w:szCs w:val="36"/>
          <w:lang w:val="kk-KZ"/>
        </w:rPr>
        <w:t>трансүлттық компания ортасында елеулі ӛзгерістердің болуы. Барлық салада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 xml:space="preserve">басшыларының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згеруі, мысалы телекоммуникацияда, фармацевтте, банктік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секторда,т.с.с. Б</w:t>
      </w:r>
      <w:r>
        <w:rPr>
          <w:rFonts w:ascii="Times New Roman" w:hAnsi="Times New Roman" w:cs="Times New Roman"/>
          <w:sz w:val="36"/>
          <w:szCs w:val="36"/>
          <w:lang w:val="kk-KZ"/>
        </w:rPr>
        <w:t>ұ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ған негізгі себеп болып жатқан жағдайға жоспарды дұрыс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құрмауында. Тәуекелділік менеджмент жеке ғылым ретінде XX ғасырдың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екінші жартысында қалыптасты. І-ші зерттеулер АҚШ-тағы 1944 жылы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 xml:space="preserve">болған апаттан кейін қауіпті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ндірістердегі тәуекелділікті бағалау әдістемесін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құруға әкеледі.</w:t>
      </w:r>
    </w:p>
    <w:p w14:paraId="45C0E14C" w14:textId="77777777" w:rsidR="006A6EDC" w:rsidRPr="006C76D1" w:rsidRDefault="006A6EDC" w:rsidP="006A6ED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76D1">
        <w:rPr>
          <w:rFonts w:ascii="Times New Roman" w:hAnsi="Times New Roman" w:cs="Times New Roman"/>
          <w:sz w:val="36"/>
          <w:szCs w:val="36"/>
          <w:lang w:val="kk-KZ"/>
        </w:rPr>
        <w:lastRenderedPageBreak/>
        <w:t>Тәуекелділік кез-келген процестің ажырамас сипаттамасы бола отырып,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кез-келген компанияға елеулі әсер етеді. Компания қызметінің тиімділігін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артттыру үшін тек қана тәуекелділікті бағалау ғана емес, сондай-ақ басқару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тәсілдерін де анықтау керек.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Тәуекелділікті басқару - адам қызметінің саласында әр түрлі әсер ететін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материалдық және физикалық шығын әкелуін зерттейтін синтетикалық пән.</w:t>
      </w:r>
    </w:p>
    <w:p w14:paraId="139005EA" w14:textId="77777777" w:rsidR="006A6EDC" w:rsidRPr="006C76D1" w:rsidRDefault="006A6EDC" w:rsidP="006A6ED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76D1">
        <w:rPr>
          <w:rFonts w:ascii="Times New Roman" w:hAnsi="Times New Roman" w:cs="Times New Roman"/>
          <w:sz w:val="36"/>
          <w:szCs w:val="36"/>
          <w:lang w:val="kk-KZ"/>
        </w:rPr>
        <w:t>Ең бірінші рет "Тәуекелділік","3иян" түсініктері адам қызметінің іскерлік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саласында сақтандыру істерінде сақталды. Кейіннен биржалық салада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қолданды.</w:t>
      </w:r>
    </w:p>
    <w:p w14:paraId="173FABAA" w14:textId="77777777" w:rsidR="006A6EDC" w:rsidRPr="006C76D1" w:rsidRDefault="006A6EDC" w:rsidP="006A6ED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76D1">
        <w:rPr>
          <w:rFonts w:ascii="Times New Roman" w:hAnsi="Times New Roman" w:cs="Times New Roman"/>
          <w:sz w:val="36"/>
          <w:szCs w:val="36"/>
          <w:lang w:val="kk-KZ"/>
        </w:rPr>
        <w:t>Тәуекелділік - кездейсоқ оқиға тобы немесе оқиға. Ол берілген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тәуекелділікке ие болатын объектіге зиян келтіретін оқиға.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Кездейсоқтық - жағдайдың нақты қай уақытта болатыны белгісіз.</w:t>
      </w:r>
    </w:p>
    <w:p w14:paraId="00A96171" w14:textId="77777777" w:rsidR="006A6EDC" w:rsidRPr="006C76D1" w:rsidRDefault="006A6EDC" w:rsidP="006A6ED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76D1">
        <w:rPr>
          <w:rFonts w:ascii="Times New Roman" w:hAnsi="Times New Roman" w:cs="Times New Roman"/>
          <w:sz w:val="36"/>
          <w:szCs w:val="36"/>
          <w:lang w:val="kk-KZ"/>
        </w:rPr>
        <w:t>Зиян - бүл объект қасиеттерінің нашарлауы немесе жойылуы. Егер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 xml:space="preserve">объект ретінде адам болса, зиян оның денсаулығына немесе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ліміне әкеледі.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Ал егер де объект мүлік болатын болса, мүліктік қасиеттерінің жойылуы, бүл</w:t>
      </w:r>
    </w:p>
    <w:p w14:paraId="7D0BE6DE" w14:textId="77777777" w:rsidR="006A6EDC" w:rsidRPr="006C76D1" w:rsidRDefault="006A6EDC" w:rsidP="006A6ED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76D1">
        <w:rPr>
          <w:rFonts w:ascii="Times New Roman" w:hAnsi="Times New Roman" w:cs="Times New Roman"/>
          <w:sz w:val="36"/>
          <w:szCs w:val="36"/>
          <w:lang w:val="kk-KZ"/>
        </w:rPr>
        <w:t>сұраныстың жойылуы, қолдану қасиеттерінің бүзылуы.</w:t>
      </w:r>
    </w:p>
    <w:p w14:paraId="4CA4C30B" w14:textId="77777777" w:rsidR="006A6EDC" w:rsidRPr="006C76D1" w:rsidRDefault="006A6EDC" w:rsidP="006A6ED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76D1">
        <w:rPr>
          <w:rFonts w:ascii="Times New Roman" w:hAnsi="Times New Roman" w:cs="Times New Roman"/>
          <w:sz w:val="36"/>
          <w:szCs w:val="36"/>
          <w:lang w:val="kk-KZ"/>
        </w:rPr>
        <w:t>Кәсіпкерлік тәжірибеде мүліктік зиян к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бінесе пайданың болмауымен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әкелінеді.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Оқиғаның ықтималдылығы - бұл оның математикалық белгісі,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статистикалық к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рсеткіштердің жеткілікті санымен болатын оқиғаның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жиілігін есептеу мүмкіндігін білдіреді. Олай болса жеке оқиғалар тәуекел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менеджмент к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зқарасына қарастырғанда екі маңызды қасиеттерге ие болады:</w:t>
      </w:r>
    </w:p>
    <w:p w14:paraId="67DB4DB1" w14:textId="77777777" w:rsidR="006A6EDC" w:rsidRPr="006C76D1" w:rsidRDefault="006A6EDC" w:rsidP="006A6ED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-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kk-KZ"/>
        </w:rPr>
        <w:t>ы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қтималдылық;</w:t>
      </w:r>
    </w:p>
    <w:p w14:paraId="63407131" w14:textId="77777777" w:rsidR="006A6EDC" w:rsidRPr="006C76D1" w:rsidRDefault="006A6EDC" w:rsidP="006A6ED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-з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ияндылық.</w:t>
      </w:r>
    </w:p>
    <w:p w14:paraId="3A43423D" w14:textId="77777777" w:rsidR="006A6EDC" w:rsidRPr="006C76D1" w:rsidRDefault="006A6EDC" w:rsidP="006A6ED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76D1">
        <w:rPr>
          <w:rFonts w:ascii="Times New Roman" w:hAnsi="Times New Roman" w:cs="Times New Roman"/>
          <w:sz w:val="36"/>
          <w:szCs w:val="36"/>
          <w:lang w:val="kk-KZ"/>
        </w:rPr>
        <w:t>Тәуекелділік оқиға жиынтығы ретінде оны тарату жинақтарынан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 xml:space="preserve">тұрады. Олардың әрқайсының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зінің ықтималдылығы және зиян м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лшері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76D1">
        <w:rPr>
          <w:rFonts w:ascii="Times New Roman" w:hAnsi="Times New Roman" w:cs="Times New Roman"/>
          <w:sz w:val="36"/>
          <w:szCs w:val="36"/>
          <w:lang w:val="kk-KZ"/>
        </w:rPr>
        <w:t>болады</w:t>
      </w:r>
    </w:p>
    <w:p w14:paraId="40D10752" w14:textId="77777777" w:rsidR="0036243C" w:rsidRPr="0036243C" w:rsidRDefault="0036243C" w:rsidP="003624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36243C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2E129AA0" w14:textId="77777777" w:rsidR="0036243C" w:rsidRPr="0036243C" w:rsidRDefault="0036243C" w:rsidP="003624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36243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 w:rsidRPr="003624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""Әділетті Қазақстан: заң мен тәртіп, экономикалық өсім, қоғамдық оптимизм"</w:t>
      </w:r>
      <w:r w:rsidRPr="0036243C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-Астана, 2024 ж. 2 қыркүйек</w:t>
      </w:r>
    </w:p>
    <w:p w14:paraId="1AC2AAB1" w14:textId="77777777" w:rsidR="0036243C" w:rsidRPr="0036243C" w:rsidRDefault="0036243C" w:rsidP="0036243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6243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391B157A" w14:textId="77777777" w:rsidR="0036243C" w:rsidRPr="0036243C" w:rsidRDefault="0036243C" w:rsidP="0036243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36243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5F13C69B" w14:textId="77777777" w:rsidR="0036243C" w:rsidRPr="0036243C" w:rsidRDefault="0036243C" w:rsidP="0036243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36243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lastRenderedPageBreak/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14B7079F" w14:textId="77777777" w:rsidR="0036243C" w:rsidRPr="0036243C" w:rsidRDefault="0036243C" w:rsidP="0036243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36243C">
        <w:rPr>
          <w:rFonts w:ascii="Times New Roman" w:hAnsi="Times New Roman" w:cs="Times New Roman"/>
          <w:sz w:val="20"/>
          <w:szCs w:val="20"/>
          <w:lang w:val="kk-KZ"/>
        </w:rPr>
        <w:t>Адизес И. Как преодолеть кризисы менеджмента. Диагностика и решение управленческих проблем. -М.: Манн, Иванов и Фербер,  2025.- 320 с.</w:t>
      </w:r>
    </w:p>
    <w:p w14:paraId="4CAC1409" w14:textId="77777777" w:rsidR="0036243C" w:rsidRPr="0036243C" w:rsidRDefault="0036243C" w:rsidP="0036243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6243C">
        <w:rPr>
          <w:rFonts w:ascii="Times New Roman" w:hAnsi="Times New Roman" w:cs="Times New Roman"/>
          <w:sz w:val="20"/>
          <w:szCs w:val="20"/>
          <w:lang w:val="kk-KZ"/>
        </w:rPr>
        <w:t>Глазьев С.Ю., Бодрунов С.Д. Современное государственное управление-М.: Ленанд, 2025.-608 с.</w:t>
      </w:r>
    </w:p>
    <w:p w14:paraId="00897CBB" w14:textId="77777777" w:rsidR="0036243C" w:rsidRPr="0036243C" w:rsidRDefault="0036243C" w:rsidP="0036243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36243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Деминг У. Эдвард   Выход из кризиса. Новая парадигма управления людьми, системами и процессами-М.: Альпина Паблишер, 2022.-418 с.</w:t>
      </w:r>
    </w:p>
    <w:p w14:paraId="3582D525" w14:textId="77777777" w:rsidR="0036243C" w:rsidRPr="0036243C" w:rsidRDefault="0036243C" w:rsidP="0036243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36243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Домалатов Е.Б. Дағдарысқа қарсы басқару -Өскемен, 2020-115 б.</w:t>
      </w:r>
    </w:p>
    <w:p w14:paraId="7737C3A8" w14:textId="77777777" w:rsidR="0036243C" w:rsidRPr="0036243C" w:rsidRDefault="0036243C" w:rsidP="0036243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36243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Жатқанбаев Е.Б., Бимендиева Л.А., Даулиева Ғ.Р. және басқалар Экономикалық теория-</w:t>
      </w:r>
      <w:bookmarkStart w:id="1" w:name="_Hlk204700105"/>
      <w:r w:rsidRPr="0036243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Алматы: Қазақ университеті, 2025.-472 б.</w:t>
      </w:r>
    </w:p>
    <w:bookmarkEnd w:id="1"/>
    <w:p w14:paraId="3159F9D2" w14:textId="77777777" w:rsidR="0036243C" w:rsidRPr="0036243C" w:rsidRDefault="0036243C" w:rsidP="0036243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36243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Жатқанбаев Е.Б., Смағұлова Г.С. Экономиканы мемлекеттік реттеу- Алматы: Қазақ университеті, 2023.-284 б.</w:t>
      </w:r>
    </w:p>
    <w:p w14:paraId="63D1B571" w14:textId="77777777" w:rsidR="0036243C" w:rsidRPr="0036243C" w:rsidRDefault="0036243C" w:rsidP="0036243C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36243C">
        <w:rPr>
          <w:rFonts w:ascii="Times New Roman" w:hAnsi="Times New Roman" w:cs="Times New Roman"/>
          <w:sz w:val="20"/>
          <w:szCs w:val="20"/>
          <w:lang w:val="kk-KZ"/>
        </w:rPr>
        <w:t>Зуб А. Т. Кризисный менеджмент-Санкт-Петербург: Питер,  2024.-304 с</w:t>
      </w:r>
    </w:p>
    <w:p w14:paraId="7F2AAD2D" w14:textId="77777777" w:rsidR="0036243C" w:rsidRPr="0036243C" w:rsidRDefault="0036243C" w:rsidP="0036243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6243C"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2342A497" w14:textId="77777777" w:rsidR="0036243C" w:rsidRPr="0036243C" w:rsidRDefault="0036243C" w:rsidP="0036243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36243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Коротков, Э. М.  Антикризисное управление – М.: Юрайт, 2025. -406 с</w:t>
      </w:r>
    </w:p>
    <w:p w14:paraId="4EB0F777" w14:textId="77777777" w:rsidR="0036243C" w:rsidRPr="0036243C" w:rsidRDefault="0036243C" w:rsidP="0036243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6243C">
        <w:rPr>
          <w:rFonts w:ascii="Times New Roman" w:hAnsi="Times New Roman" w:cs="Times New Roman"/>
          <w:sz w:val="20"/>
          <w:szCs w:val="20"/>
        </w:rPr>
        <w:t>Камолов, С. Г. Цифровое государственное управление: учебник для вузов – М</w:t>
      </w:r>
      <w:r w:rsidRPr="0036243C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36243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36243C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36243C">
        <w:rPr>
          <w:rFonts w:ascii="Times New Roman" w:hAnsi="Times New Roman" w:cs="Times New Roman"/>
          <w:sz w:val="20"/>
          <w:szCs w:val="20"/>
        </w:rPr>
        <w:t>, 202</w:t>
      </w:r>
      <w:r w:rsidRPr="0036243C">
        <w:rPr>
          <w:rFonts w:ascii="Times New Roman" w:hAnsi="Times New Roman" w:cs="Times New Roman"/>
          <w:sz w:val="20"/>
          <w:szCs w:val="20"/>
          <w:lang w:val="kk-KZ"/>
        </w:rPr>
        <w:t>4-</w:t>
      </w:r>
      <w:r w:rsidRPr="0036243C">
        <w:rPr>
          <w:rFonts w:ascii="Times New Roman" w:hAnsi="Times New Roman" w:cs="Times New Roman"/>
          <w:sz w:val="20"/>
          <w:szCs w:val="20"/>
        </w:rPr>
        <w:t xml:space="preserve"> 336 с.</w:t>
      </w:r>
    </w:p>
    <w:p w14:paraId="76127C6D" w14:textId="77777777" w:rsidR="0036243C" w:rsidRPr="0036243C" w:rsidRDefault="0036243C" w:rsidP="0036243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6243C"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3E3C4687" w14:textId="77777777" w:rsidR="0036243C" w:rsidRPr="0036243C" w:rsidRDefault="0036243C" w:rsidP="0036243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6243C">
        <w:rPr>
          <w:rFonts w:ascii="Times New Roman" w:hAnsi="Times New Roman" w:cs="Times New Roman"/>
          <w:sz w:val="20"/>
          <w:szCs w:val="20"/>
          <w:lang w:val="kk-KZ"/>
        </w:rPr>
        <w:t>Кочеткова А.И. Антикризисное управление.-М.: Юрайт, 2024-440 с.</w:t>
      </w:r>
    </w:p>
    <w:p w14:paraId="296A764C" w14:textId="77777777" w:rsidR="0036243C" w:rsidRPr="0036243C" w:rsidRDefault="0036243C" w:rsidP="0036243C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36243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Мошин А.Ю.</w:t>
      </w:r>
      <w:r w:rsidRPr="0036243C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 </w:t>
      </w:r>
      <w:r w:rsidRPr="0036243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14:ligatures w14:val="standardContextual"/>
        </w:rPr>
        <w:t>Антикризисное управление предприятиями промышленного комплекса</w:t>
      </w:r>
      <w:r w:rsidRPr="0036243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-М.: Директ-Медиа, 2023.-520 с.</w:t>
      </w:r>
    </w:p>
    <w:p w14:paraId="7448FF7F" w14:textId="77777777" w:rsidR="0036243C" w:rsidRPr="0036243C" w:rsidRDefault="0036243C" w:rsidP="0036243C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36243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Оқу бизнес-кейстерінің жинағы -Алматы: Үш қиян, 2025.-436 б.</w:t>
      </w:r>
    </w:p>
    <w:p w14:paraId="2F7EACB0" w14:textId="77777777" w:rsidR="0036243C" w:rsidRPr="0036243C" w:rsidRDefault="0036243C" w:rsidP="0036243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6243C"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29B3B807" w14:textId="77777777" w:rsidR="0036243C" w:rsidRPr="0036243C" w:rsidRDefault="0036243C" w:rsidP="0036243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36243C"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6EA7A115" w14:textId="77777777" w:rsidR="0036243C" w:rsidRPr="0036243C" w:rsidRDefault="0036243C" w:rsidP="0036243C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36243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Рязанов, В. А. Антикризисное  противодействие – М.: Юрайт, 2024-103 с.</w:t>
      </w:r>
    </w:p>
    <w:p w14:paraId="2FDB99D7" w14:textId="77777777" w:rsidR="0036243C" w:rsidRPr="0036243C" w:rsidRDefault="0036243C" w:rsidP="0036243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36243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Ряховская А.Н.,  Кован С.Е., Акулова Н.Г. и др. Антикризисное управление: теория и практика-М.: КноРус, 2025.- 378 с.</w:t>
      </w:r>
    </w:p>
    <w:p w14:paraId="16A9A6A6" w14:textId="77777777" w:rsidR="0036243C" w:rsidRPr="0036243C" w:rsidRDefault="0036243C" w:rsidP="0036243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36243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056AE41B" w14:textId="77777777" w:rsidR="0036243C" w:rsidRPr="0036243C" w:rsidRDefault="0036243C" w:rsidP="0036243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36243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.</w:t>
      </w:r>
      <w:r w:rsidRPr="0036243C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 w:rsidRPr="0036243C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МГИМОУниверситет</w:t>
      </w:r>
      <w:proofErr w:type="spellEnd"/>
      <w:r w:rsidRPr="0036243C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, 2020 - 169</w:t>
      </w:r>
    </w:p>
    <w:p w14:paraId="70BDA351" w14:textId="77777777" w:rsidR="0036243C" w:rsidRPr="0036243C" w:rsidRDefault="0036243C" w:rsidP="0036243C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362F4D84" w14:textId="77777777" w:rsidR="0036243C" w:rsidRPr="0036243C" w:rsidRDefault="0036243C" w:rsidP="0036243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36243C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4FBD9ACB" w14:textId="77777777" w:rsidR="0036243C" w:rsidRPr="0036243C" w:rsidRDefault="0036243C" w:rsidP="00362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6243C"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7E82F6B" w14:textId="77777777" w:rsidR="0036243C" w:rsidRPr="0036243C" w:rsidRDefault="0036243C" w:rsidP="00362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6243C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616FF542" w14:textId="77777777" w:rsidR="0036243C" w:rsidRPr="0036243C" w:rsidRDefault="0036243C" w:rsidP="00362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6243C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F20D991" w14:textId="77777777" w:rsidR="0036243C" w:rsidRPr="0036243C" w:rsidRDefault="0036243C" w:rsidP="00362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6243C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4A475B6E" w14:textId="77777777" w:rsidR="0036243C" w:rsidRPr="0036243C" w:rsidRDefault="0036243C" w:rsidP="00362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6243C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E8B56F1" w14:textId="77777777" w:rsidR="0036243C" w:rsidRPr="0036243C" w:rsidRDefault="0036243C" w:rsidP="00362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6243C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2931612" w14:textId="77777777" w:rsidR="0036243C" w:rsidRPr="0036243C" w:rsidRDefault="0036243C" w:rsidP="00362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6243C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4FC2850F" w14:textId="77777777" w:rsidR="0036243C" w:rsidRPr="0036243C" w:rsidRDefault="0036243C" w:rsidP="0036243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74776617" w14:textId="77777777" w:rsidR="0036243C" w:rsidRPr="0036243C" w:rsidRDefault="0036243C" w:rsidP="0036243C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36243C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239471CD" w14:textId="77777777" w:rsidR="0036243C" w:rsidRPr="0036243C" w:rsidRDefault="0036243C" w:rsidP="003624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3624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 w:rsidRPr="0036243C">
          <w:rPr>
            <w:rFonts w:ascii="Times New Roman" w:eastAsia="Times New Roman" w:hAnsi="Times New Roman" w:cs="Times New Roman"/>
            <w:sz w:val="20"/>
            <w:szCs w:val="20"/>
            <w:lang w:val="kk-KZ"/>
          </w:rPr>
          <w:t>https://urait.ru/bcode/537623</w:t>
        </w:r>
      </w:hyperlink>
      <w:r w:rsidRPr="003624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 </w:t>
      </w:r>
    </w:p>
    <w:p w14:paraId="10DE7940" w14:textId="77777777" w:rsidR="0036243C" w:rsidRPr="0036243C" w:rsidRDefault="0036243C" w:rsidP="0036243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36243C">
        <w:rPr>
          <w:rFonts w:ascii="Times New Roman" w:eastAsia="Times New Roman" w:hAnsi="Times New Roman" w:cs="Times New Roman"/>
          <w:sz w:val="20"/>
          <w:szCs w:val="20"/>
          <w:lang w:val="kk-KZ"/>
        </w:rPr>
        <w:t>2.</w:t>
      </w:r>
      <w:hyperlink r:id="rId6" w:history="1">
        <w:r w:rsidRPr="0036243C">
          <w:rPr>
            <w:rFonts w:ascii="Times New Roman" w:hAnsi="Times New Roman" w:cs="Times New Roman"/>
            <w:kern w:val="2"/>
            <w:sz w:val="20"/>
            <w:szCs w:val="20"/>
            <w:lang w:val="kk-KZ"/>
            <w14:ligatures w14:val="standardContextual"/>
          </w:rPr>
          <w:t>https://urait.ru/bcode/512864</w:t>
        </w:r>
      </w:hyperlink>
      <w:r w:rsidRPr="0036243C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.</w:t>
      </w:r>
    </w:p>
    <w:p w14:paraId="41DE536F" w14:textId="77777777" w:rsidR="0036243C" w:rsidRPr="0036243C" w:rsidRDefault="0036243C" w:rsidP="0036243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36243C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3.URL: </w:t>
      </w:r>
      <w:hyperlink r:id="rId7" w:history="1">
        <w:r w:rsidRPr="0036243C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lang w:val="kk-KZ"/>
            <w14:ligatures w14:val="standardContextual"/>
          </w:rPr>
          <w:t>https://urait.ru/bcode/511054</w:t>
        </w:r>
      </w:hyperlink>
    </w:p>
    <w:p w14:paraId="0933923C" w14:textId="77777777" w:rsidR="0036243C" w:rsidRPr="0036243C" w:rsidRDefault="0036243C" w:rsidP="0036243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36243C">
        <w:rPr>
          <w:rFonts w:ascii="Times New Roman" w:eastAsia="Times New Roman" w:hAnsi="Times New Roman" w:cs="Times New Roman"/>
          <w:sz w:val="20"/>
          <w:szCs w:val="20"/>
          <w:lang w:val="kk-KZ"/>
        </w:rPr>
        <w:t>4.</w:t>
      </w:r>
      <w:hyperlink r:id="rId8" w:history="1">
        <w:r w:rsidRPr="0036243C">
          <w:rPr>
            <w:rFonts w:ascii="Times New Roman" w:hAnsi="Times New Roman" w:cs="Times New Roman"/>
            <w:kern w:val="2"/>
            <w:sz w:val="20"/>
            <w:szCs w:val="20"/>
            <w:lang w:val="kk-KZ"/>
            <w14:ligatures w14:val="standardContextual"/>
          </w:rPr>
          <w:t>URL:https://urait.ru/bcode/510543</w:t>
        </w:r>
      </w:hyperlink>
    </w:p>
    <w:p w14:paraId="1A7DB129" w14:textId="77777777" w:rsidR="0036243C" w:rsidRPr="0036243C" w:rsidRDefault="0036243C" w:rsidP="0036243C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6243C">
        <w:rPr>
          <w:rFonts w:ascii="Times New Roman" w:hAnsi="Times New Roman" w:cs="Times New Roman"/>
          <w:sz w:val="20"/>
          <w:szCs w:val="20"/>
          <w:lang w:val="kk-KZ"/>
        </w:rPr>
        <w:t>5. URL: https://urait.ru/bcode/559685</w:t>
      </w:r>
    </w:p>
    <w:p w14:paraId="63022F8F" w14:textId="77777777" w:rsidR="0036243C" w:rsidRPr="0036243C" w:rsidRDefault="0036243C" w:rsidP="003624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65E76D98" w14:textId="77777777" w:rsidR="0036243C" w:rsidRPr="0036243C" w:rsidRDefault="0036243C" w:rsidP="003624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36243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7A644897" w14:textId="77777777" w:rsidR="0036243C" w:rsidRPr="0036243C" w:rsidRDefault="0036243C" w:rsidP="003624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3624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7441CA07" w14:textId="77777777" w:rsidR="0036243C" w:rsidRPr="0036243C" w:rsidRDefault="0036243C" w:rsidP="0036243C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3624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5</w:t>
      </w:r>
    </w:p>
    <w:p w14:paraId="60CD44F0" w14:textId="77777777" w:rsidR="001632AF" w:rsidRPr="0036243C" w:rsidRDefault="001632AF">
      <w:pPr>
        <w:rPr>
          <w:lang w:val="kk-KZ"/>
        </w:rPr>
      </w:pPr>
    </w:p>
    <w:sectPr w:rsidR="001632AF" w:rsidRPr="00362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F02F9"/>
    <w:multiLevelType w:val="hybridMultilevel"/>
    <w:tmpl w:val="C52E2912"/>
    <w:lvl w:ilvl="0" w:tplc="8D80F030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573012A4"/>
    <w:multiLevelType w:val="hybridMultilevel"/>
    <w:tmpl w:val="BA307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762775">
    <w:abstractNumId w:val="1"/>
  </w:num>
  <w:num w:numId="2" w16cid:durableId="144195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39"/>
    <w:rsid w:val="001632AF"/>
    <w:rsid w:val="00310446"/>
    <w:rsid w:val="0036243C"/>
    <w:rsid w:val="003E6D87"/>
    <w:rsid w:val="006A6EDC"/>
    <w:rsid w:val="00DA0439"/>
    <w:rsid w:val="00E9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00B58-29A9-4F93-83B1-65DD7BFA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EDC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A6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2025-07-30T03:48:00Z</dcterms:created>
  <dcterms:modified xsi:type="dcterms:W3CDTF">2025-07-30T05:06:00Z</dcterms:modified>
</cp:coreProperties>
</file>